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1C" w:rsidRDefault="0036291C"/>
    <w:p w:rsidR="0036291C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FE260C">
        <w:rPr>
          <w:b/>
        </w:rPr>
        <w:t>elu ogólnego 1</w:t>
      </w:r>
    </w:p>
    <w:p w:rsidR="00DE1AC2" w:rsidRDefault="00DE1AC2" w:rsidP="0036291C">
      <w:pPr>
        <w:jc w:val="center"/>
        <w:rPr>
          <w:b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740"/>
        <w:gridCol w:w="4272"/>
        <w:gridCol w:w="4110"/>
        <w:gridCol w:w="3597"/>
      </w:tblGrid>
      <w:tr w:rsidR="00DE1AC2" w:rsidRPr="003C0ABC" w:rsidTr="00476AB2">
        <w:trPr>
          <w:trHeight w:val="650"/>
          <w:jc w:val="center"/>
        </w:trPr>
        <w:tc>
          <w:tcPr>
            <w:tcW w:w="927" w:type="pct"/>
            <w:shd w:val="clear" w:color="auto" w:fill="FFD966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5" w:type="pct"/>
            <w:gridSpan w:val="2"/>
            <w:shd w:val="clear" w:color="auto" w:fill="FFD966"/>
            <w:vAlign w:val="center"/>
          </w:tcPr>
          <w:p w:rsidR="00DE1AC2" w:rsidRPr="003C0ABC" w:rsidRDefault="00DE1AC2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DE1AC2" w:rsidRPr="003C0ABC" w:rsidRDefault="00DE1AC2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2" w:type="pct"/>
            <w:shd w:val="clear" w:color="auto" w:fill="FFD966"/>
            <w:vAlign w:val="center"/>
          </w:tcPr>
          <w:p w:rsidR="00DE1AC2" w:rsidRPr="003C0ABC" w:rsidRDefault="00DE1AC2" w:rsidP="00476AB2">
            <w:pPr>
              <w:jc w:val="center"/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DE1AC2" w:rsidRPr="003C0ABC" w:rsidTr="00476AB2">
        <w:trPr>
          <w:trHeight w:val="2113"/>
          <w:jc w:val="center"/>
        </w:trPr>
        <w:tc>
          <w:tcPr>
            <w:tcW w:w="927" w:type="pct"/>
            <w:vMerge w:val="restart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Cel ogólny 1</w:t>
            </w:r>
          </w:p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bookmarkStart w:id="1" w:name="_Hlk515969134"/>
            <w:r w:rsidRPr="003C0ABC">
              <w:rPr>
                <w:b/>
                <w:sz w:val="20"/>
                <w:szCs w:val="20"/>
                <w:lang w:eastAsia="ar-SA"/>
              </w:rPr>
              <w:t>Poprawa jakości infrastruktury technicznej, transportowej, społecznej i publicznej</w:t>
            </w:r>
            <w:bookmarkEnd w:id="1"/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projektów o podobnym zakresie do operacji, finansowanych ze źródeł </w:t>
            </w:r>
            <w:r w:rsidRPr="003C0ABC">
              <w:rPr>
                <w:sz w:val="20"/>
                <w:szCs w:val="20"/>
                <w:lang w:eastAsia="ar-SA"/>
              </w:rPr>
              <w:t>zewnętrznych, co zostanie potwierdzone np. umową o dofinansowanie projektu, sprawozdaniem z realizacji projektu.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DE1AC2" w:rsidRPr="003C0ABC" w:rsidTr="00476AB2">
        <w:trPr>
          <w:trHeight w:val="3065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highlight w:val="yellow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3C0ABC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Punkty zostaną przyznane jeżeli stwierdzone zostanie istnienie innowacji  - czyli produktu, procesu, metody, rozwiązania, wdrożenia. Zalicza się tu w/w elementy, które są oryginalne (nie występujące dotąd). </w:t>
            </w:r>
          </w:p>
        </w:tc>
      </w:tr>
      <w:tr w:rsidR="00DE1AC2" w:rsidRPr="003C0ABC" w:rsidTr="00476AB2">
        <w:trPr>
          <w:trHeight w:val="3091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Wysokość wnioskowanej pomocy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Preferuje operacje, których oczekiwany przez wnioskodawców poziom dofinansowania jest niższy od maksymalnego przewidzianego dla danego działania. 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-operacje , których wkład własny jest równy  minimalnemu wymaganemu w rozporządzeniu </w:t>
            </w:r>
            <w:r w:rsidRPr="003C0ABC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operacje , których wkład własny jest wyższy od wymaganego wkładu minimalnego o 10 % - </w:t>
            </w:r>
            <w:r w:rsidRPr="003C0ABC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o 20%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  <w:r w:rsidRPr="003C0ABC">
              <w:rPr>
                <w:sz w:val="20"/>
                <w:szCs w:val="20"/>
                <w:lang w:eastAsia="ar-SA"/>
              </w:rPr>
              <w:t xml:space="preserve"> </w:t>
            </w:r>
          </w:p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DE1AC2" w:rsidRPr="003C0ABC" w:rsidTr="00476AB2">
        <w:trPr>
          <w:trHeight w:val="1555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3C0ABC">
              <w:rPr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DE1AC2" w:rsidRPr="003C0ABC" w:rsidRDefault="00DE1AC2" w:rsidP="00476AB2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3C0ABC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3C0ABC">
              <w:rPr>
                <w:b/>
                <w:sz w:val="20"/>
                <w:szCs w:val="20"/>
                <w:lang w:eastAsia="ar-SA"/>
              </w:rPr>
              <w:t>3 pkt</w:t>
            </w:r>
          </w:p>
        </w:tc>
      </w:tr>
      <w:tr w:rsidR="00DE1AC2" w:rsidRPr="003C0ABC" w:rsidTr="00476AB2">
        <w:trPr>
          <w:trHeight w:val="1641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związany z poprawą </w:t>
            </w:r>
          </w:p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Jakości życia mieszkańców na terenach wiejskich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Preferowane będą projekty związane z poprawą infrastruktury związanej z jakością życia mieszkańców na terenach wiejskich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3C0ABC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DE1AC2" w:rsidRPr="003C0ABC" w:rsidTr="00476AB2">
        <w:trPr>
          <w:trHeight w:val="1483"/>
          <w:jc w:val="center"/>
        </w:trPr>
        <w:tc>
          <w:tcPr>
            <w:tcW w:w="927" w:type="pct"/>
            <w:vMerge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w zależności od liczby  nowo utworzonych miejsc pracy w sektorze związanym z usługami na obszarze działania LGD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3C0ABC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DE1AC2" w:rsidRPr="003C0ABC" w:rsidTr="00476AB2">
        <w:trPr>
          <w:trHeight w:val="1928"/>
          <w:jc w:val="center"/>
        </w:trPr>
        <w:tc>
          <w:tcPr>
            <w:tcW w:w="927" w:type="pct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CA5719">
              <w:rPr>
                <w:color w:val="000000" w:themeColor="text1"/>
                <w:sz w:val="20"/>
                <w:szCs w:val="20"/>
                <w:lang w:eastAsia="ar-SA"/>
              </w:rPr>
              <w:t xml:space="preserve">kompletne wnioski o dofinansowanie wraz z niezbędnymi załącznikami wskazanymi we wniosku oraz w ogłoszeniu o konkursie, </w:t>
            </w:r>
            <w:r w:rsidRPr="003C0ABC">
              <w:rPr>
                <w:color w:val="000000" w:themeColor="text1"/>
                <w:sz w:val="20"/>
                <w:szCs w:val="20"/>
                <w:lang w:eastAsia="ar-SA"/>
              </w:rPr>
              <w:t xml:space="preserve">zostały osobiście skonsultowane przez wnioskodawcę lub jego przedstawiciela w biurze LGD z uprawnionym pracownikiem LGD, na minimum 5 dni roboczych przed końcem  trwania naboru, w którym złożono wniosek 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</w:tr>
      <w:tr w:rsidR="00DE1AC2" w:rsidRPr="003C0ABC" w:rsidTr="00476AB2">
        <w:trPr>
          <w:trHeight w:val="1374"/>
          <w:jc w:val="center"/>
        </w:trPr>
        <w:tc>
          <w:tcPr>
            <w:tcW w:w="927" w:type="pct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DE1AC2" w:rsidRPr="003C0ABC" w:rsidRDefault="00DE1AC2" w:rsidP="00476AB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8" w:type="pct"/>
            <w:vAlign w:val="center"/>
          </w:tcPr>
          <w:p w:rsidR="00DE1AC2" w:rsidRPr="003C0ABC" w:rsidRDefault="00DE1AC2" w:rsidP="00476AB2">
            <w:pPr>
              <w:rPr>
                <w:b/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2" w:type="pct"/>
            <w:vAlign w:val="center"/>
          </w:tcPr>
          <w:p w:rsidR="00DE1AC2" w:rsidRPr="003C0ABC" w:rsidRDefault="00DE1AC2" w:rsidP="00476AB2">
            <w:pPr>
              <w:snapToGrid w:val="0"/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DE1AC2" w:rsidRPr="003C0ABC" w:rsidRDefault="00DE1AC2" w:rsidP="00476AB2">
            <w:pPr>
              <w:rPr>
                <w:sz w:val="20"/>
                <w:szCs w:val="20"/>
                <w:lang w:eastAsia="ar-SA"/>
              </w:rPr>
            </w:pPr>
            <w:r w:rsidRPr="003C0ABC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3C0ABC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DE1AC2" w:rsidRPr="003C0ABC" w:rsidTr="00476AB2">
        <w:trPr>
          <w:trHeight w:val="483"/>
          <w:jc w:val="center"/>
        </w:trPr>
        <w:tc>
          <w:tcPr>
            <w:tcW w:w="5000" w:type="pct"/>
            <w:gridSpan w:val="5"/>
            <w:shd w:val="clear" w:color="auto" w:fill="FFD966"/>
            <w:vAlign w:val="center"/>
          </w:tcPr>
          <w:p w:rsidR="00DE1AC2" w:rsidRPr="003C0ABC" w:rsidRDefault="00DE1AC2" w:rsidP="00476AB2">
            <w:pPr>
              <w:keepNext/>
              <w:rPr>
                <w:sz w:val="20"/>
                <w:szCs w:val="20"/>
                <w:lang w:eastAsia="ar-SA"/>
              </w:rPr>
            </w:pPr>
            <w:r w:rsidRPr="003C0ABC">
              <w:rPr>
                <w:b/>
                <w:sz w:val="20"/>
                <w:szCs w:val="20"/>
                <w:lang w:eastAsia="ar-SA"/>
              </w:rPr>
              <w:t xml:space="preserve">Projekt może uzyskać maksimum 28 pkt. Wymagane minimum wynosi 14 pkt </w:t>
            </w:r>
          </w:p>
        </w:tc>
      </w:tr>
    </w:tbl>
    <w:p w:rsidR="00F2255C" w:rsidRDefault="00F2255C" w:rsidP="0036291C">
      <w:pPr>
        <w:jc w:val="center"/>
        <w:rPr>
          <w:b/>
        </w:rPr>
      </w:pPr>
    </w:p>
    <w:sectPr w:rsidR="00F2255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F7" w:rsidRDefault="003329F7" w:rsidP="0036291C">
      <w:r>
        <w:separator/>
      </w:r>
    </w:p>
  </w:endnote>
  <w:endnote w:type="continuationSeparator" w:id="0">
    <w:p w:rsidR="003329F7" w:rsidRDefault="003329F7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F7" w:rsidRDefault="003329F7" w:rsidP="0036291C">
      <w:r>
        <w:separator/>
      </w:r>
    </w:p>
  </w:footnote>
  <w:footnote w:type="continuationSeparator" w:id="0">
    <w:p w:rsidR="003329F7" w:rsidRDefault="003329F7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1C"/>
    <w:rsid w:val="0009421F"/>
    <w:rsid w:val="002242D2"/>
    <w:rsid w:val="003329F7"/>
    <w:rsid w:val="0036291C"/>
    <w:rsid w:val="005177FA"/>
    <w:rsid w:val="0061227B"/>
    <w:rsid w:val="00692EC4"/>
    <w:rsid w:val="006F79DC"/>
    <w:rsid w:val="00924B45"/>
    <w:rsid w:val="00A754E8"/>
    <w:rsid w:val="00C0472A"/>
    <w:rsid w:val="00DE1AC2"/>
    <w:rsid w:val="00DF05F0"/>
    <w:rsid w:val="00F2255C"/>
    <w:rsid w:val="00F2329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8CEA"/>
  <w15:docId w15:val="{6165FF25-1563-4977-A813-90CC6CA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3</cp:revision>
  <dcterms:created xsi:type="dcterms:W3CDTF">2018-08-17T07:21:00Z</dcterms:created>
  <dcterms:modified xsi:type="dcterms:W3CDTF">2020-02-21T11:38:00Z</dcterms:modified>
</cp:coreProperties>
</file>