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E9363D">
        <w:rPr>
          <w:b/>
          <w:sz w:val="24"/>
          <w:szCs w:val="24"/>
        </w:rPr>
        <w:t xml:space="preserve"> nie granica” w dniu </w:t>
      </w:r>
      <w:r w:rsidR="0065429A" w:rsidRPr="00F810E5">
        <w:rPr>
          <w:b/>
          <w:sz w:val="24"/>
          <w:szCs w:val="24"/>
        </w:rPr>
        <w:t>14</w:t>
      </w:r>
      <w:r w:rsidR="00E8376F">
        <w:rPr>
          <w:b/>
          <w:sz w:val="24"/>
          <w:szCs w:val="24"/>
        </w:rPr>
        <w:t xml:space="preserve"> </w:t>
      </w:r>
      <w:r w:rsidR="0065429A">
        <w:rPr>
          <w:b/>
          <w:sz w:val="24"/>
          <w:szCs w:val="24"/>
        </w:rPr>
        <w:t>marca</w:t>
      </w:r>
      <w:r w:rsidR="00C82415">
        <w:rPr>
          <w:b/>
          <w:sz w:val="24"/>
          <w:szCs w:val="24"/>
        </w:rPr>
        <w:t xml:space="preserve"> 201</w:t>
      </w:r>
      <w:r w:rsidR="00C311F1">
        <w:rPr>
          <w:b/>
          <w:sz w:val="24"/>
          <w:szCs w:val="24"/>
        </w:rPr>
        <w:t>9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AC05D4">
        <w:rPr>
          <w:b/>
          <w:sz w:val="24"/>
          <w:szCs w:val="24"/>
        </w:rPr>
        <w:t>1</w:t>
      </w:r>
      <w:r w:rsidR="00C311F1" w:rsidRPr="00AC05D4">
        <w:rPr>
          <w:b/>
          <w:sz w:val="24"/>
          <w:szCs w:val="24"/>
        </w:rPr>
        <w:t>4</w:t>
      </w:r>
      <w:r w:rsidRPr="00D4509E">
        <w:rPr>
          <w:b/>
          <w:sz w:val="24"/>
          <w:szCs w:val="24"/>
        </w:rPr>
        <w:t>.</w:t>
      </w:r>
      <w:r w:rsidR="00D4509E" w:rsidRPr="00D4509E">
        <w:rPr>
          <w:b/>
          <w:sz w:val="24"/>
          <w:szCs w:val="24"/>
        </w:rPr>
        <w:t>0</w:t>
      </w:r>
      <w:r w:rsidRPr="00D4509E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89344F" w:rsidRDefault="0089344F" w:rsidP="0089344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interesu.</w:t>
      </w:r>
    </w:p>
    <w:p w:rsidR="00E60995" w:rsidRPr="00B2632D" w:rsidRDefault="00E60995" w:rsidP="00E6099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B2632D">
        <w:rPr>
          <w:rFonts w:cs="Times New Roman"/>
        </w:rPr>
        <w:t>Zapoznanie się z pismem Z</w:t>
      </w:r>
      <w:r w:rsidR="00B2632D" w:rsidRPr="00B2632D">
        <w:rPr>
          <w:rFonts w:cs="Times New Roman"/>
        </w:rPr>
        <w:t xml:space="preserve">arządu </w:t>
      </w:r>
      <w:r w:rsidRPr="00B2632D">
        <w:rPr>
          <w:rFonts w:cs="Times New Roman"/>
        </w:rPr>
        <w:t>W</w:t>
      </w:r>
      <w:r w:rsidR="00B2632D" w:rsidRPr="00B2632D">
        <w:rPr>
          <w:rFonts w:cs="Times New Roman"/>
        </w:rPr>
        <w:t xml:space="preserve">ojewództwa </w:t>
      </w:r>
      <w:r w:rsidRPr="00B2632D">
        <w:rPr>
          <w:rFonts w:cs="Times New Roman"/>
        </w:rPr>
        <w:t xml:space="preserve"> w </w:t>
      </w:r>
      <w:proofErr w:type="spellStart"/>
      <w:r w:rsidRPr="00B2632D">
        <w:rPr>
          <w:rFonts w:cs="Times New Roman"/>
        </w:rPr>
        <w:t>spr</w:t>
      </w:r>
      <w:proofErr w:type="spellEnd"/>
      <w:r w:rsidRPr="00B2632D">
        <w:rPr>
          <w:rFonts w:cs="Times New Roman"/>
        </w:rPr>
        <w:t xml:space="preserve">. </w:t>
      </w:r>
      <w:r w:rsidR="00B2632D" w:rsidRPr="00B2632D">
        <w:rPr>
          <w:rFonts w:cs="Times New Roman"/>
        </w:rPr>
        <w:t>u</w:t>
      </w:r>
      <w:r w:rsidRPr="00B2632D">
        <w:rPr>
          <w:rFonts w:cs="Times New Roman"/>
        </w:rPr>
        <w:t xml:space="preserve">zupełnień </w:t>
      </w:r>
      <w:r w:rsidR="00B2632D" w:rsidRPr="00B2632D">
        <w:rPr>
          <w:rFonts w:cs="Times New Roman"/>
        </w:rPr>
        <w:t>/popraw</w:t>
      </w:r>
      <w:bookmarkStart w:id="0" w:name="_GoBack"/>
      <w:bookmarkEnd w:id="0"/>
      <w:r w:rsidR="00B2632D" w:rsidRPr="00B2632D">
        <w:rPr>
          <w:rFonts w:cs="Times New Roman"/>
        </w:rPr>
        <w:t>nych dokumentów związanych z naborem nr 9/2018</w:t>
      </w:r>
    </w:p>
    <w:p w:rsidR="00E60995" w:rsidRDefault="00E60995" w:rsidP="000F63CF">
      <w:pPr>
        <w:pStyle w:val="Akapitzlist"/>
        <w:numPr>
          <w:ilvl w:val="1"/>
          <w:numId w:val="2"/>
        </w:numPr>
        <w:spacing w:line="264" w:lineRule="auto"/>
        <w:ind w:left="1418" w:hanging="774"/>
        <w:rPr>
          <w:rFonts w:cs="Times New Roman"/>
        </w:rPr>
      </w:pPr>
      <w:r>
        <w:rPr>
          <w:rFonts w:cs="Times New Roman"/>
        </w:rPr>
        <w:t>Podpisanie deklaracji poufności i bezstronności.</w:t>
      </w:r>
    </w:p>
    <w:p w:rsidR="00E60995" w:rsidRPr="00B2632D" w:rsidRDefault="00E60995" w:rsidP="000F63CF">
      <w:pPr>
        <w:pStyle w:val="Akapitzlist"/>
        <w:numPr>
          <w:ilvl w:val="1"/>
          <w:numId w:val="2"/>
        </w:numPr>
        <w:spacing w:line="264" w:lineRule="auto"/>
        <w:ind w:left="1418" w:hanging="774"/>
        <w:rPr>
          <w:rFonts w:cs="Times New Roman"/>
        </w:rPr>
      </w:pPr>
      <w:r w:rsidRPr="00B2632D">
        <w:t xml:space="preserve">Podjęcie uchwały w sprawie </w:t>
      </w:r>
      <w:r w:rsidR="00EF3A4E">
        <w:t xml:space="preserve">zmiany uchwały nr </w:t>
      </w:r>
      <w:r w:rsidR="00A8378D">
        <w:t xml:space="preserve">I/13/19 w sprawie zatwierdzenia </w:t>
      </w:r>
      <w:r w:rsidRPr="00B2632D">
        <w:t xml:space="preserve">listy operacji wybranych do dofinansowania w ramach budżetu </w:t>
      </w:r>
      <w:r w:rsidR="0032767D">
        <w:t>LGD</w:t>
      </w:r>
      <w:r w:rsidRPr="00B2632D">
        <w:rPr>
          <w:rFonts w:cs="Times New Roman"/>
        </w:rPr>
        <w:t>.</w:t>
      </w:r>
    </w:p>
    <w:p w:rsidR="0089344F" w:rsidRPr="00C97489" w:rsidRDefault="0089344F" w:rsidP="0089344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</w:t>
      </w:r>
      <w:r>
        <w:rPr>
          <w:rFonts w:cs="Times New Roman"/>
        </w:rPr>
        <w:t>re wpłynęły w ramach naboru nr 1</w:t>
      </w:r>
      <w:r w:rsidRPr="00C97489">
        <w:rPr>
          <w:rFonts w:cs="Times New Roman"/>
        </w:rPr>
        <w:t>/201</w:t>
      </w:r>
      <w:r>
        <w:rPr>
          <w:rFonts w:cs="Times New Roman"/>
        </w:rPr>
        <w:t>9</w:t>
      </w:r>
      <w:r w:rsidRPr="00C97489">
        <w:rPr>
          <w:rFonts w:cs="Times New Roman"/>
        </w:rPr>
        <w:t>.</w:t>
      </w:r>
    </w:p>
    <w:p w:rsidR="0089344F" w:rsidRPr="003B0E48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89344F" w:rsidRPr="003B0E48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Weryfikacja pomocniczej  oceny zgodności operacji z LSR dokonanej przez biuro.</w:t>
      </w:r>
    </w:p>
    <w:p w:rsidR="0089344F" w:rsidRPr="003B0E48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89344F" w:rsidRPr="003B0E48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89344F" w:rsidRPr="003B0E48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 xml:space="preserve">Utworzenie listy operacji, które wymagają uzyskania wyjaśnień lub dokumentów niezbędnych do oceny zgodności operacji z LSR, wyboru operacji lub ustalenia kwoty wsparcia. 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rPr>
          <w:rFonts w:cs="Times New Roman"/>
        </w:rPr>
        <w:t xml:space="preserve">Ostateczna ocena zgodności operacji z LSR. 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rPr>
          <w:rFonts w:cs="Times New Roman"/>
        </w:rPr>
        <w:t>Ostateczna ocena operacji według lokalnych kryteriów wyboru operacji.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Ustalenie ostatecznej kwoty wsparcia, dla każdej operacji ocenionej, która uzyskała minimalną wymaganą liczbę punktów w ocenie według lokalnych kryteriów wyboru.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Ogłoszenie wyników oceny.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Podjęcie uchwały w sprawie zatwierdzenia listy operacji zgodnych z ogłoszeniem naboru wniosków o przyznanie pomocy oraz zgodnych z LSR.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ind w:left="1418" w:hanging="709"/>
        <w:rPr>
          <w:i/>
        </w:rPr>
      </w:pPr>
      <w:r w:rsidRPr="005D5616">
        <w:t>Podjęcie uchwały w sprawie zatwierdzenia listy operacji niezgodnych z LSR.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Utworzenie listy rankingowej ocenionych operacji, według ilości uzyskanych punktów.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Podjęcie uchwały o wyborze lub niewybraniu operacji do dofinansowania oraz ustaleniu kwoty wsparcia.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 xml:space="preserve">Podjęcie uchwały w sprawie zatwierdzenia listy operacji wybranych do dofinansowania </w:t>
      </w:r>
      <w:r w:rsidRPr="005D5616">
        <w:br/>
        <w:t xml:space="preserve">w ramach budżetu </w:t>
      </w:r>
      <w:r w:rsidR="00183033">
        <w:t>LGD</w:t>
      </w:r>
      <w:r w:rsidRPr="005D5616">
        <w:t>.</w:t>
      </w:r>
    </w:p>
    <w:p w:rsidR="0089344F" w:rsidRPr="005D5616" w:rsidRDefault="0089344F" w:rsidP="000F63CF">
      <w:pPr>
        <w:pStyle w:val="Akapitzlist"/>
        <w:numPr>
          <w:ilvl w:val="1"/>
          <w:numId w:val="2"/>
        </w:numPr>
        <w:ind w:left="1418" w:hanging="709"/>
      </w:pPr>
      <w:r w:rsidRPr="005D5616">
        <w:t xml:space="preserve">Podjęcie uchwały w sprawie zatwierdzenia listy operacji  niewybranych do dofinansowania w ramach budżetu </w:t>
      </w:r>
      <w:r w:rsidR="00183033">
        <w:t>LGD</w:t>
      </w:r>
      <w:r w:rsidRPr="005D5616">
        <w:t>.</w:t>
      </w:r>
    </w:p>
    <w:p w:rsidR="0089344F" w:rsidRPr="005D5616" w:rsidRDefault="0089344F" w:rsidP="0089344F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5D5616">
        <w:rPr>
          <w:rFonts w:cs="Times New Roman"/>
        </w:rPr>
        <w:t xml:space="preserve">Ocena operacji, które wpłynęły w ramach naboru nr </w:t>
      </w:r>
      <w:r>
        <w:rPr>
          <w:rFonts w:cs="Times New Roman"/>
        </w:rPr>
        <w:t>2/2019</w:t>
      </w:r>
      <w:r w:rsidRPr="005D5616">
        <w:rPr>
          <w:rFonts w:cs="Times New Roman"/>
        </w:rPr>
        <w:t>.</w:t>
      </w:r>
    </w:p>
    <w:p w:rsidR="000F63CF" w:rsidRPr="003B0E48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0F63CF" w:rsidRPr="003B0E48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Weryfikacja pomocniczej  oceny zgodności operacji z LSR dokonanej przez biuro.</w:t>
      </w:r>
    </w:p>
    <w:p w:rsidR="000F63CF" w:rsidRPr="003B0E48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0F63CF" w:rsidRPr="003B0E48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0F63CF" w:rsidRPr="003B0E48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3B0E48">
        <w:rPr>
          <w:rFonts w:cs="Times New Roman"/>
        </w:rPr>
        <w:t xml:space="preserve">Utworzenie listy operacji, które wymagają uzyskania wyjaśnień lub dokumentów niezbędnych do oceny zgodności operacji z LSR, wyboru operacji lub ustalenia kwoty wsparcia. 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rPr>
          <w:rFonts w:cs="Times New Roman"/>
        </w:rPr>
        <w:t xml:space="preserve">Ostateczna ocena zgodności operacji z LSR. 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rPr>
          <w:rFonts w:cs="Times New Roman"/>
        </w:rPr>
        <w:lastRenderedPageBreak/>
        <w:t>Ostateczna ocena operacji według lokalnych kryteriów wyboru operacji.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Ustalenie ostatecznej kwoty wsparcia, dla każdej operacji ocenionej, która uzyskała minimalną wymaganą liczbę punktów w ocenie według lokalnych kryteriów wyboru.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Ogłoszenie wyników oceny.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Podjęcie uchwały w sprawie zatwierdzenia listy operacji zgodnych z ogłoszeniem naboru wniosków o przyznanie pomocy oraz zgodnych z LSR.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ind w:left="1418" w:hanging="709"/>
        <w:rPr>
          <w:i/>
        </w:rPr>
      </w:pPr>
      <w:r w:rsidRPr="005D5616">
        <w:t>Podjęcie uchwały w sprawie zatwierdzenia listy operacji niezgodnych z LSR.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Utworzenie listy rankingowej ocenionych operacji, według ilości uzyskanych punktów.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>Podjęcie uchwały o wyborze lub niewybraniu operacji do dofinansowania oraz ustaleniu kwoty wsparcia.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spacing w:line="264" w:lineRule="auto"/>
        <w:ind w:left="1418" w:hanging="709"/>
        <w:rPr>
          <w:rFonts w:cs="Times New Roman"/>
        </w:rPr>
      </w:pPr>
      <w:r w:rsidRPr="005D5616">
        <w:t xml:space="preserve">Podjęcie uchwały w sprawie zatwierdzenia listy operacji wybranych do dofinansowania </w:t>
      </w:r>
      <w:r w:rsidRPr="005D5616">
        <w:br/>
        <w:t xml:space="preserve">w ramach budżetu </w:t>
      </w:r>
      <w:r w:rsidR="00183033">
        <w:t>LGD</w:t>
      </w:r>
      <w:r w:rsidRPr="005D5616">
        <w:t>.</w:t>
      </w:r>
    </w:p>
    <w:p w:rsidR="000F63CF" w:rsidRPr="005D5616" w:rsidRDefault="000F63CF" w:rsidP="000F63CF">
      <w:pPr>
        <w:pStyle w:val="Akapitzlist"/>
        <w:numPr>
          <w:ilvl w:val="1"/>
          <w:numId w:val="2"/>
        </w:numPr>
        <w:ind w:left="1418" w:hanging="709"/>
      </w:pPr>
      <w:r w:rsidRPr="005D5616">
        <w:t xml:space="preserve">Podjęcie uchwały w sprawie zatwierdzenia listy operacji  niewybranych do dofinansowania w ramach budżetu </w:t>
      </w:r>
      <w:r w:rsidR="00183033">
        <w:t>LGD</w:t>
      </w:r>
      <w:r w:rsidRPr="005D5616">
        <w:t>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Wolne głosy, wnioski i zapytania.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Podsumowanie i zakończenie posiedzenia.</w:t>
      </w:r>
    </w:p>
    <w:p w:rsidR="00DF619C" w:rsidRPr="00C97489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F74844">
        <w:rPr>
          <w:b/>
        </w:rPr>
        <w:t>Przewodn</w:t>
      </w:r>
      <w:r w:rsidR="00A74577" w:rsidRPr="00F74844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CB3AAA" w:rsidRDefault="00CB3AAA" w:rsidP="00CB3AAA">
      <w:pPr>
        <w:ind w:left="4248" w:firstLine="708"/>
        <w:jc w:val="center"/>
        <w:rPr>
          <w:b/>
        </w:rPr>
      </w:pPr>
      <w:r w:rsidRPr="00F74844">
        <w:rPr>
          <w:b/>
        </w:rPr>
        <w:t>Stanisław Paks</w:t>
      </w:r>
    </w:p>
    <w:p w:rsidR="00FB59DF" w:rsidRPr="00C97489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49"/>
    <w:rsid w:val="0001675B"/>
    <w:rsid w:val="000356A9"/>
    <w:rsid w:val="000479B9"/>
    <w:rsid w:val="00093083"/>
    <w:rsid w:val="000D46E7"/>
    <w:rsid w:val="000E5EFD"/>
    <w:rsid w:val="000F63CF"/>
    <w:rsid w:val="001263A2"/>
    <w:rsid w:val="001743C1"/>
    <w:rsid w:val="00183033"/>
    <w:rsid w:val="001C1E39"/>
    <w:rsid w:val="001C3DF3"/>
    <w:rsid w:val="001D1352"/>
    <w:rsid w:val="001F68E3"/>
    <w:rsid w:val="002121BE"/>
    <w:rsid w:val="00284106"/>
    <w:rsid w:val="002C1210"/>
    <w:rsid w:val="00304234"/>
    <w:rsid w:val="0032767D"/>
    <w:rsid w:val="00344534"/>
    <w:rsid w:val="0035302D"/>
    <w:rsid w:val="003872E5"/>
    <w:rsid w:val="0040521B"/>
    <w:rsid w:val="004773C2"/>
    <w:rsid w:val="004F2929"/>
    <w:rsid w:val="0051566A"/>
    <w:rsid w:val="00634F32"/>
    <w:rsid w:val="0065429A"/>
    <w:rsid w:val="008831E4"/>
    <w:rsid w:val="0089344F"/>
    <w:rsid w:val="00897549"/>
    <w:rsid w:val="008B54DD"/>
    <w:rsid w:val="0093557D"/>
    <w:rsid w:val="0094308E"/>
    <w:rsid w:val="00973947"/>
    <w:rsid w:val="00A13C2C"/>
    <w:rsid w:val="00A74577"/>
    <w:rsid w:val="00A8378D"/>
    <w:rsid w:val="00AC05D4"/>
    <w:rsid w:val="00B2421B"/>
    <w:rsid w:val="00B2632D"/>
    <w:rsid w:val="00B309F3"/>
    <w:rsid w:val="00B83C07"/>
    <w:rsid w:val="00B91B08"/>
    <w:rsid w:val="00BB57D2"/>
    <w:rsid w:val="00C05FBA"/>
    <w:rsid w:val="00C311F1"/>
    <w:rsid w:val="00C82415"/>
    <w:rsid w:val="00C97489"/>
    <w:rsid w:val="00CB3AAA"/>
    <w:rsid w:val="00CC5E9A"/>
    <w:rsid w:val="00D05FA6"/>
    <w:rsid w:val="00D4509E"/>
    <w:rsid w:val="00DF619C"/>
    <w:rsid w:val="00E477BC"/>
    <w:rsid w:val="00E60995"/>
    <w:rsid w:val="00E8376F"/>
    <w:rsid w:val="00E9363D"/>
    <w:rsid w:val="00EA36F5"/>
    <w:rsid w:val="00EF0EBC"/>
    <w:rsid w:val="00EF3A4E"/>
    <w:rsid w:val="00F03E5C"/>
    <w:rsid w:val="00F04514"/>
    <w:rsid w:val="00F4468D"/>
    <w:rsid w:val="00F74844"/>
    <w:rsid w:val="00F810E5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Ja</cp:lastModifiedBy>
  <cp:revision>2</cp:revision>
  <dcterms:created xsi:type="dcterms:W3CDTF">2019-03-07T12:29:00Z</dcterms:created>
  <dcterms:modified xsi:type="dcterms:W3CDTF">2019-03-07T12:29:00Z</dcterms:modified>
</cp:coreProperties>
</file>